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cs="黑体"/>
          <w:sz w:val="32"/>
          <w:szCs w:val="32"/>
        </w:rPr>
        <w:t>不动产估价委托合同</w:t>
      </w:r>
    </w:p>
    <w:p>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w:t>
      </w:r>
      <w:r>
        <w:rPr>
          <w:rFonts w:hint="eastAsia" w:ascii="黑体" w:hAnsi="宋体" w:eastAsia="黑体" w:cs="黑体"/>
          <w:lang w:val="en-US" w:eastAsia="zh-CN"/>
        </w:rPr>
        <w:t>2023</w:t>
      </w:r>
      <w:r>
        <w:rPr>
          <w:rFonts w:ascii="黑体" w:hAnsi="宋体" w:eastAsia="黑体" w:cs="黑体"/>
        </w:rPr>
        <w:t>]</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号</w:t>
      </w:r>
    </w:p>
    <w:p>
      <w:pPr>
        <w:tabs>
          <w:tab w:val="left" w:pos="7560"/>
        </w:tabs>
        <w:spacing w:before="62" w:beforeLines="20" w:after="62" w:afterLines="20" w:line="480" w:lineRule="auto"/>
        <w:ind w:firstLine="482" w:firstLineChars="200"/>
        <w:rPr>
          <w:rFonts w:ascii="宋体" w:cs="宋体"/>
          <w:b/>
          <w:bCs/>
          <w:sz w:val="24"/>
          <w:szCs w:val="24"/>
        </w:rPr>
      </w:pPr>
    </w:p>
    <w:p>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lang w:eastAsia="zh-CN"/>
        </w:rPr>
        <w:t>北京玉泉新城房地产开发有限公司</w:t>
      </w:r>
      <w:r>
        <w:rPr>
          <w:rFonts w:ascii="宋体" w:hAnsi="宋体" w:cs="宋体"/>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pPr>
        <w:spacing w:line="400" w:lineRule="exact"/>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依照《中华人民共和国民法典》、《中华人民共和国资产评估法》等法律、行政法规，经双方平等协商，特订立本合同，以资共同信守。</w:t>
      </w:r>
    </w:p>
    <w:p>
      <w:pPr>
        <w:spacing w:line="400" w:lineRule="exact"/>
        <w:ind w:firstLine="480" w:firstLineChars="200"/>
        <w:rPr>
          <w:rFonts w:ascii="宋体"/>
          <w:sz w:val="24"/>
          <w:szCs w:val="24"/>
          <w:u w:val="single"/>
        </w:rPr>
      </w:pPr>
    </w:p>
    <w:p>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bCs/>
          <w:sz w:val="24"/>
          <w:szCs w:val="24"/>
          <w:u w:val="single"/>
          <w:lang w:eastAsia="zh-CN"/>
        </w:rPr>
        <w:t>北京市海淀区玉泉北里一区</w:t>
      </w:r>
      <w:r>
        <w:rPr>
          <w:rFonts w:hint="eastAsia" w:ascii="宋体" w:hAnsi="宋体" w:cs="宋体"/>
          <w:b/>
          <w:bCs/>
          <w:sz w:val="24"/>
          <w:szCs w:val="24"/>
          <w:u w:val="single"/>
          <w:lang w:val="en-US" w:eastAsia="zh-CN"/>
        </w:rPr>
        <w:t>9号楼共计616套定向安置房项目房地产市场价格评估</w:t>
      </w:r>
      <w:r>
        <w:rPr>
          <w:rFonts w:ascii="宋体" w:hAnsi="宋体" w:cs="宋体"/>
          <w:b/>
          <w:bCs/>
          <w:sz w:val="24"/>
          <w:szCs w:val="24"/>
          <w:u w:val="single"/>
        </w:rPr>
        <w:t xml:space="preserve">        </w:t>
      </w:r>
    </w:p>
    <w:p>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ascii="宋体" w:hAnsi="宋体" w:cs="宋体"/>
          <w:b/>
          <w:bCs/>
          <w:sz w:val="24"/>
          <w:szCs w:val="24"/>
          <w:u w:val="single"/>
          <w:lang w:eastAsia="zh-CN"/>
        </w:rPr>
        <w:t>为估价委托人了解估价对象市场价格水平提供参考依据</w:t>
      </w:r>
      <w:r>
        <w:rPr>
          <w:rFonts w:ascii="宋体" w:hAnsi="宋体" w:cs="宋体"/>
          <w:b/>
          <w:bCs/>
          <w:sz w:val="24"/>
          <w:szCs w:val="24"/>
          <w:u w:val="single"/>
        </w:rPr>
        <w:t xml:space="preserve">                                                       </w:t>
      </w:r>
    </w:p>
    <w:p>
      <w:pPr>
        <w:pStyle w:val="12"/>
        <w:spacing w:before="62" w:beforeLines="20" w:after="62" w:afterLines="20" w:line="480" w:lineRule="auto"/>
        <w:ind w:firstLine="482" w:firstLineChars="200"/>
        <w:rPr>
          <w:rFonts w:cs="Times New Roman"/>
        </w:rPr>
      </w:pPr>
      <w:r>
        <w:rPr>
          <w:rFonts w:hint="eastAsia"/>
        </w:rPr>
        <w:t>三、估价对象和估价范围（或见附件）：</w:t>
      </w:r>
      <w:r>
        <w:rPr>
          <w:b/>
          <w:bCs/>
          <w:u w:val="single"/>
        </w:rPr>
        <w:t xml:space="preserve"> </w:t>
      </w:r>
      <w:r>
        <w:rPr>
          <w:rFonts w:hint="eastAsia"/>
          <w:b/>
          <w:bCs/>
          <w:u w:val="single"/>
          <w:lang w:eastAsia="zh-CN"/>
        </w:rPr>
        <w:t>详见估价委托书</w:t>
      </w:r>
      <w:r>
        <w:rPr>
          <w:b/>
          <w:bCs/>
          <w:u w:val="single"/>
        </w:rPr>
        <w:t xml:space="preserve">               </w:t>
      </w:r>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hint="eastAsia" w:ascii="宋体" w:hAnsi="宋体" w:cs="宋体"/>
          <w:b/>
          <w:bCs/>
          <w:sz w:val="24"/>
          <w:szCs w:val="24"/>
          <w:u w:val="single"/>
          <w:lang w:val="en-US" w:eastAsia="zh-CN"/>
        </w:rPr>
        <w:t xml:space="preserve"> 2013 </w:t>
      </w:r>
      <w:r>
        <w:rPr>
          <w:rFonts w:hint="eastAsia" w:ascii="宋体" w:hAnsi="宋体" w:cs="宋体"/>
          <w:b/>
          <w:bCs/>
          <w:sz w:val="24"/>
          <w:szCs w:val="24"/>
        </w:rPr>
        <w:t>年</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8</w:t>
      </w:r>
      <w:r>
        <w:rPr>
          <w:rFonts w:ascii="宋体" w:hAnsi="宋体" w:cs="宋体"/>
          <w:b/>
          <w:bCs/>
          <w:sz w:val="24"/>
          <w:szCs w:val="24"/>
          <w:u w:val="single"/>
        </w:rPr>
        <w:t xml:space="preserve"> </w:t>
      </w:r>
      <w:r>
        <w:rPr>
          <w:rFonts w:hint="eastAsia" w:ascii="宋体" w:hAnsi="宋体" w:cs="宋体"/>
          <w:b/>
          <w:bCs/>
          <w:sz w:val="24"/>
          <w:szCs w:val="24"/>
        </w:rPr>
        <w:t>月</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11</w:t>
      </w:r>
      <w:r>
        <w:rPr>
          <w:rFonts w:ascii="宋体" w:hAnsi="宋体" w:cs="宋体"/>
          <w:b/>
          <w:bCs/>
          <w:sz w:val="24"/>
          <w:szCs w:val="24"/>
          <w:u w:val="single"/>
        </w:rPr>
        <w:t xml:space="preserve"> </w:t>
      </w:r>
      <w:r>
        <w:rPr>
          <w:rFonts w:hint="eastAsia" w:ascii="宋体" w:hAnsi="宋体" w:cs="宋体"/>
          <w:b/>
          <w:bCs/>
          <w:sz w:val="24"/>
          <w:szCs w:val="24"/>
        </w:rPr>
        <w:t>日</w:t>
      </w:r>
      <w:r>
        <w:rPr>
          <w:rFonts w:ascii="宋体" w:hAnsi="宋体" w:cs="宋体"/>
          <w:b/>
          <w:bCs/>
          <w:sz w:val="24"/>
          <w:szCs w:val="24"/>
        </w:rPr>
        <w:t xml:space="preserve"> </w:t>
      </w:r>
      <w:bookmarkStart w:id="0" w:name="_GoBack"/>
      <w:bookmarkEnd w:id="0"/>
    </w:p>
    <w:p>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五、价值类型：</w:t>
      </w:r>
      <w:r>
        <w:rPr>
          <w:rFonts w:ascii="宋体" w:hAnsi="宋体" w:cs="宋体"/>
          <w:b/>
          <w:bCs/>
          <w:sz w:val="24"/>
          <w:szCs w:val="24"/>
          <w:u w:val="single"/>
        </w:rPr>
        <w:t xml:space="preserve">  </w:t>
      </w:r>
      <w:r>
        <w:rPr>
          <w:rFonts w:hint="eastAsia" w:ascii="宋体" w:hAnsi="宋体" w:cs="宋体"/>
          <w:b/>
          <w:bCs/>
          <w:sz w:val="24"/>
          <w:szCs w:val="24"/>
          <w:u w:val="single"/>
        </w:rPr>
        <w:t>市场</w:t>
      </w:r>
      <w:r>
        <w:rPr>
          <w:rFonts w:hint="eastAsia" w:ascii="宋体" w:hAnsi="宋体" w:cs="宋体"/>
          <w:b/>
          <w:bCs/>
          <w:sz w:val="24"/>
          <w:szCs w:val="24"/>
          <w:u w:val="single"/>
          <w:lang w:eastAsia="zh-CN"/>
        </w:rPr>
        <w:t>价格</w:t>
      </w:r>
      <w:r>
        <w:rPr>
          <w:rFonts w:ascii="宋体" w:hAnsi="宋体" w:cs="宋体"/>
          <w:b/>
          <w:bCs/>
          <w:sz w:val="24"/>
          <w:szCs w:val="24"/>
          <w:u w:val="single"/>
        </w:rPr>
        <w:t xml:space="preserve">  </w:t>
      </w:r>
    </w:p>
    <w:p>
      <w:pPr>
        <w:spacing w:before="62" w:beforeLines="20" w:after="62" w:afterLines="20" w:line="400" w:lineRule="exact"/>
        <w:ind w:firstLine="482" w:firstLineChars="200"/>
        <w:rPr>
          <w:rFonts w:ascii="宋体"/>
          <w:b/>
          <w:bCs/>
          <w:sz w:val="24"/>
          <w:szCs w:val="24"/>
        </w:rPr>
      </w:pPr>
    </w:p>
    <w:p>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根据不动产估价工作时间安排，甲方应先期准备或指定不动产权利人、此次经济行为相关方提供乙方估价所需的不动产权属证明及其他相关资料，并于</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pPr>
        <w:tabs>
          <w:tab w:val="left" w:pos="720"/>
        </w:tabs>
        <w:spacing w:before="62" w:beforeLines="20" w:after="62" w:afterLines="20" w:line="360" w:lineRule="auto"/>
        <w:ind w:firstLine="480" w:firstLineChars="200"/>
        <w:rPr>
          <w:rFonts w:ascii="宋体" w:cs="宋体"/>
          <w:sz w:val="24"/>
          <w:szCs w:val="24"/>
          <w:u w:val="single"/>
        </w:rPr>
      </w:pPr>
      <w:r>
        <w:rPr>
          <w:rFonts w:ascii="宋体" w:hAnsi="宋体" w:cs="宋体"/>
          <w:sz w:val="24"/>
          <w:szCs w:val="24"/>
        </w:rPr>
        <w:t>1.</w:t>
      </w:r>
      <w:r>
        <w:rPr>
          <w:sz w:val="24"/>
          <w:szCs w:val="24"/>
        </w:rPr>
        <w:t xml:space="preserve"> </w:t>
      </w:r>
      <w:r>
        <w:rPr>
          <w:rFonts w:hint="eastAsia" w:ascii="宋体" w:hAnsi="宋体" w:cs="宋体"/>
          <w:sz w:val="24"/>
          <w:szCs w:val="24"/>
        </w:rPr>
        <w:t>参考原国家计委、建设部发布的《国家计委、建设部关于房地产中介服务收费的通知》（计价格第</w:t>
      </w:r>
      <w:r>
        <w:rPr>
          <w:rFonts w:ascii="宋体" w:hAnsi="宋体" w:cs="宋体"/>
          <w:sz w:val="24"/>
          <w:szCs w:val="24"/>
        </w:rPr>
        <w:t>971</w:t>
      </w:r>
      <w:r>
        <w:rPr>
          <w:rFonts w:hint="eastAsia" w:ascii="宋体" w:hAnsi="宋体" w:cs="宋体"/>
          <w:sz w:val="24"/>
          <w:szCs w:val="24"/>
        </w:rPr>
        <w:t>号）相关规定、此次评估的特定目的及本项目评估工作的繁简程度，甲乙双方协商本次估价服务费合计为人民币</w:t>
      </w:r>
      <w:r>
        <w:rPr>
          <w:rFonts w:hint="eastAsia" w:ascii="宋体" w:hAnsi="宋体" w:cs="宋体"/>
          <w:sz w:val="24"/>
          <w:szCs w:val="24"/>
          <w:u w:val="single"/>
          <w:lang w:val="en-US" w:eastAsia="zh-CN"/>
        </w:rPr>
        <w:t>7674</w:t>
      </w:r>
      <w:r>
        <w:rPr>
          <w:rFonts w:hint="eastAsia" w:ascii="宋体" w:hAnsi="宋体" w:cs="宋体"/>
          <w:sz w:val="24"/>
          <w:szCs w:val="24"/>
        </w:rPr>
        <w:t>元。差旅费用（包括乙方人员往来估价对象不动产所在地），由</w:t>
      </w:r>
      <w:r>
        <w:rPr>
          <w:rFonts w:hint="eastAsia" w:ascii="宋体" w:hAnsi="宋体" w:cs="宋体"/>
          <w:sz w:val="24"/>
          <w:szCs w:val="24"/>
          <w:u w:val="single"/>
          <w:lang w:eastAsia="zh-CN"/>
        </w:rPr>
        <w:t>乙方</w:t>
      </w:r>
      <w:r>
        <w:rPr>
          <w:rFonts w:hint="eastAsia" w:ascii="宋体" w:hAnsi="宋体" w:cs="宋体"/>
          <w:sz w:val="24"/>
          <w:szCs w:val="24"/>
        </w:rPr>
        <w:t>支付，乙方工作人员在估价对象不动产所在地食宿、交通、必要的办公场所通讯费用由</w:t>
      </w:r>
      <w:r>
        <w:rPr>
          <w:rFonts w:hint="eastAsia" w:ascii="宋体" w:hAnsi="宋体" w:cs="宋体"/>
          <w:sz w:val="24"/>
          <w:szCs w:val="24"/>
          <w:u w:val="single"/>
          <w:lang w:eastAsia="zh-CN"/>
        </w:rPr>
        <w:t>乙方</w:t>
      </w:r>
      <w:r>
        <w:rPr>
          <w:rFonts w:hint="eastAsia" w:ascii="宋体" w:hAnsi="宋体" w:cs="宋体"/>
          <w:sz w:val="24"/>
          <w:szCs w:val="24"/>
        </w:rPr>
        <w:t>支付。</w:t>
      </w:r>
    </w:p>
    <w:p>
      <w:pPr>
        <w:tabs>
          <w:tab w:val="left" w:pos="720"/>
        </w:tabs>
        <w:spacing w:before="62" w:beforeLines="20" w:after="62" w:afterLines="20" w:line="360" w:lineRule="auto"/>
        <w:ind w:firstLine="480" w:firstLineChars="200"/>
        <w:rPr>
          <w:rFonts w:ascii="宋体"/>
          <w:color w:val="auto"/>
          <w:sz w:val="24"/>
          <w:szCs w:val="24"/>
        </w:rPr>
      </w:pPr>
      <w:r>
        <w:rPr>
          <w:rFonts w:ascii="宋体" w:hAnsi="宋体" w:cs="宋体"/>
          <w:sz w:val="24"/>
          <w:szCs w:val="24"/>
        </w:rPr>
        <w:t>2.</w:t>
      </w:r>
      <w:r>
        <w:rPr>
          <w:rFonts w:hint="eastAsia" w:ascii="宋体" w:hAnsi="宋体" w:cs="宋体"/>
          <w:sz w:val="24"/>
          <w:szCs w:val="24"/>
        </w:rPr>
        <w:t>支付方式</w:t>
      </w:r>
      <w:r>
        <w:rPr>
          <w:rFonts w:hint="eastAsia" w:ascii="宋体" w:hAnsi="宋体" w:cs="宋体"/>
          <w:sz w:val="24"/>
          <w:szCs w:val="24"/>
          <w:lang w:eastAsia="zh-CN"/>
        </w:rPr>
        <w:t>：待</w:t>
      </w:r>
      <w:r>
        <w:rPr>
          <w:rFonts w:hint="eastAsia" w:ascii="宋体" w:hAnsi="宋体" w:cs="宋体"/>
          <w:sz w:val="24"/>
          <w:szCs w:val="24"/>
        </w:rPr>
        <w:t>乙</w:t>
      </w:r>
      <w:r>
        <w:rPr>
          <w:rFonts w:hint="eastAsia" w:ascii="宋体" w:hAnsi="宋体" w:cs="宋体"/>
          <w:color w:val="auto"/>
          <w:sz w:val="24"/>
          <w:szCs w:val="24"/>
        </w:rPr>
        <w:t>方提交正式《不动产估价报告书》三日内，甲方支付给乙方</w:t>
      </w:r>
      <w:r>
        <w:rPr>
          <w:rFonts w:hint="eastAsia" w:ascii="宋体" w:hAnsi="宋体" w:cs="宋体"/>
          <w:color w:val="auto"/>
          <w:sz w:val="24"/>
          <w:szCs w:val="24"/>
          <w:u w:val="single"/>
          <w:lang w:val="en-US" w:eastAsia="zh-CN"/>
        </w:rPr>
        <w:t>7674</w:t>
      </w:r>
      <w:r>
        <w:rPr>
          <w:rFonts w:hint="eastAsia" w:ascii="宋体" w:hAnsi="宋体" w:cs="宋体"/>
          <w:color w:val="auto"/>
          <w:sz w:val="24"/>
          <w:szCs w:val="24"/>
        </w:rPr>
        <w:t>元。乙方应在每次收款前提供等额的增值税专用发票。</w:t>
      </w:r>
    </w:p>
    <w:p>
      <w:pPr>
        <w:tabs>
          <w:tab w:val="left" w:pos="720"/>
        </w:tabs>
        <w:spacing w:before="62" w:beforeLines="20" w:after="62" w:afterLines="20" w:line="360" w:lineRule="auto"/>
        <w:ind w:firstLine="480" w:firstLineChars="200"/>
        <w:rPr>
          <w:rFonts w:ascii="宋体"/>
          <w:color w:val="auto"/>
          <w:sz w:val="24"/>
          <w:szCs w:val="24"/>
        </w:rPr>
      </w:pPr>
      <w:r>
        <w:rPr>
          <w:rFonts w:hint="eastAsia" w:ascii="宋体" w:hAnsi="宋体" w:cs="宋体"/>
          <w:color w:val="auto"/>
          <w:sz w:val="24"/>
          <w:szCs w:val="24"/>
        </w:rPr>
        <w:t>3</w:t>
      </w:r>
      <w:r>
        <w:rPr>
          <w:rFonts w:ascii="宋体" w:hAnsi="宋体" w:cs="宋体"/>
          <w:color w:val="auto"/>
          <w:sz w:val="24"/>
          <w:szCs w:val="24"/>
        </w:rPr>
        <w:t>.</w:t>
      </w:r>
      <w:r>
        <w:rPr>
          <w:rFonts w:hint="eastAsia" w:ascii="宋体" w:hAnsi="宋体" w:cs="宋体"/>
          <w:color w:val="auto"/>
          <w:sz w:val="24"/>
          <w:szCs w:val="24"/>
        </w:rPr>
        <w:t>乙方账号如下：</w:t>
      </w:r>
    </w:p>
    <w:p>
      <w:pPr>
        <w:tabs>
          <w:tab w:val="left" w:pos="720"/>
        </w:tabs>
        <w:spacing w:before="62" w:beforeLines="20" w:after="62"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户</w:t>
      </w:r>
      <w:r>
        <w:rPr>
          <w:rFonts w:ascii="宋体" w:hAnsi="宋体" w:cs="宋体"/>
          <w:color w:val="auto"/>
          <w:sz w:val="24"/>
          <w:szCs w:val="24"/>
        </w:rPr>
        <w:t xml:space="preserve">    </w:t>
      </w:r>
      <w:r>
        <w:rPr>
          <w:rFonts w:hint="eastAsia" w:ascii="宋体" w:hAnsi="宋体" w:cs="宋体"/>
          <w:color w:val="auto"/>
          <w:sz w:val="24"/>
          <w:szCs w:val="24"/>
        </w:rPr>
        <w:t>名：北京康正宏基房地产评估有限公司</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olor w:val="auto"/>
          <w:sz w:val="24"/>
          <w:szCs w:val="24"/>
        </w:rPr>
        <w:t>纳税人识别号：911101067226169</w:t>
      </w:r>
      <w:r>
        <w:rPr>
          <w:rFonts w:hint="eastAsia" w:ascii="宋体" w:hAnsi="宋体"/>
          <w:sz w:val="24"/>
          <w:szCs w:val="24"/>
        </w:rPr>
        <w:t>74K</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开户银行：交通银行北京和平里支行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开户账号：</w:t>
      </w:r>
      <w:r>
        <w:rPr>
          <w:rFonts w:ascii="宋体" w:hAnsi="宋体" w:cs="宋体"/>
          <w:sz w:val="24"/>
          <w:szCs w:val="24"/>
        </w:rPr>
        <w:t>110060739012015026873</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行号：交224</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地    址：北京市丰台区芳城园一区16号楼2层2门配套公建01</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sz w:val="24"/>
          <w:szCs w:val="24"/>
        </w:rPr>
        <w:t>电    话：82253558</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甲方自接到乙方提交的《不动产估价报告书》之日起五个工作日内，如对估价结果产生异议，且理由正当，可书面向乙方提出复估或重估申请。</w:t>
      </w:r>
    </w:p>
    <w:p>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如适用，乙方应对甲方复估或重估书面申请后十个工作日内完成估价对象的复估或重估报告书，交付甲方。</w:t>
      </w:r>
    </w:p>
    <w:p>
      <w:pPr>
        <w:pStyle w:val="4"/>
        <w:spacing w:before="62" w:beforeLines="20" w:after="62" w:afterLines="20"/>
        <w:ind w:firstLine="480" w:firstLineChars="200"/>
        <w:rPr>
          <w:rFonts w:ascii="宋体" w:hAnsi="宋体" w:eastAsia="宋体"/>
        </w:rPr>
      </w:pPr>
    </w:p>
    <w:p>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如无法律法规规定，乙方未经甲方事先书面，不得将《不动产估价报告书》的内容向第三方提供或者公开。</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，或定金不予退还，上述两者之中取其高者。</w:t>
      </w:r>
    </w:p>
    <w:p>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3.甲方如未按上述条款规定的时间向乙方支付估价服务费，以甲方应付款项为基数，从逾期之日起，每逾期一日，甲方向乙方支付应付款项的万分之六作为违约金。</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4.乙方如无正当理由，逾期交付《不动产估价报告书》，每逾期一日，乙方向甲方支付估价服务费的万分之六作为违约金。</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凡因本合同或与本合同有关的一切争议，甲、乙双方应友好协商解决；协商不成的，任何一方均有权向自己住所地人民法院提起诉讼，接受第一立案法院管辖。</w:t>
      </w:r>
    </w:p>
    <w:p>
      <w:pPr>
        <w:tabs>
          <w:tab w:val="left" w:pos="720"/>
          <w:tab w:val="left" w:pos="5595"/>
        </w:tabs>
        <w:spacing w:before="62" w:beforeLines="20" w:after="62" w:afterLines="20" w:line="400" w:lineRule="exact"/>
        <w:ind w:firstLine="482" w:firstLineChars="200"/>
        <w:rPr>
          <w:rFonts w:ascii="宋体"/>
          <w:b/>
          <w:bCs/>
          <w:sz w:val="24"/>
          <w:szCs w:val="24"/>
        </w:rPr>
      </w:pPr>
    </w:p>
    <w:p>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b/>
          <w:bCs/>
          <w:sz w:val="24"/>
          <w:szCs w:val="24"/>
        </w:rPr>
      </w:pPr>
    </w:p>
    <w:p>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hint="eastAsia" w:ascii="宋体" w:hAnsi="宋体" w:cs="宋体"/>
          <w:sz w:val="24"/>
          <w:szCs w:val="24"/>
          <w:u w:val="single"/>
          <w:lang w:eastAsia="zh-CN"/>
        </w:rPr>
        <w:t>四</w:t>
      </w:r>
      <w:r>
        <w:rPr>
          <w:rFonts w:hint="eastAsia" w:ascii="宋体" w:hAnsi="宋体" w:cs="宋体"/>
          <w:sz w:val="24"/>
          <w:szCs w:val="24"/>
        </w:rPr>
        <w:t>份，甲方持</w:t>
      </w:r>
      <w:r>
        <w:rPr>
          <w:rFonts w:hint="eastAsia" w:ascii="宋体" w:hAnsi="宋体" w:cs="宋体"/>
          <w:sz w:val="24"/>
          <w:szCs w:val="24"/>
          <w:u w:val="single"/>
          <w:lang w:eastAsia="zh-CN"/>
        </w:rPr>
        <w:t>二</w:t>
      </w:r>
      <w:r>
        <w:rPr>
          <w:rFonts w:hint="eastAsia" w:ascii="宋体" w:hAnsi="宋体" w:cs="宋体"/>
          <w:sz w:val="24"/>
          <w:szCs w:val="24"/>
        </w:rPr>
        <w:t>份，乙方持</w:t>
      </w:r>
      <w:r>
        <w:rPr>
          <w:rFonts w:hint="eastAsia" w:ascii="宋体" w:hAnsi="宋体" w:cs="宋体"/>
          <w:sz w:val="24"/>
          <w:szCs w:val="24"/>
          <w:u w:val="single"/>
          <w:lang w:eastAsia="zh-CN"/>
        </w:rPr>
        <w:t>二</w:t>
      </w:r>
      <w:r>
        <w:rPr>
          <w:rFonts w:hint="eastAsia" w:ascii="宋体" w:hAnsi="宋体" w:cs="宋体"/>
          <w:sz w:val="24"/>
          <w:szCs w:val="24"/>
        </w:rPr>
        <w:t>份。</w:t>
      </w:r>
    </w:p>
    <w:p>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pPr>
        <w:ind w:right="105" w:firstLine="496"/>
        <w:rPr>
          <w:sz w:val="24"/>
          <w:szCs w:val="24"/>
        </w:rPr>
      </w:pPr>
    </w:p>
    <w:p>
      <w:pPr>
        <w:ind w:right="105" w:firstLine="496"/>
        <w:rPr>
          <w:sz w:val="24"/>
          <w:szCs w:val="24"/>
        </w:rPr>
      </w:pPr>
    </w:p>
    <w:p>
      <w:pPr>
        <w:ind w:right="105" w:firstLine="496"/>
        <w:rPr>
          <w:sz w:val="24"/>
          <w:szCs w:val="24"/>
        </w:rPr>
      </w:pPr>
    </w:p>
    <w:p>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r>
        <w:rPr>
          <w:sz w:val="24"/>
          <w:szCs w:val="24"/>
        </w:rPr>
        <w:t xml:space="preserve">   </w:t>
      </w:r>
    </w:p>
    <w:p>
      <w:pPr>
        <w:spacing w:line="480" w:lineRule="auto"/>
        <w:ind w:right="108" w:firstLine="493"/>
        <w:rPr>
          <w:sz w:val="24"/>
          <w:szCs w:val="24"/>
        </w:rPr>
      </w:pPr>
      <w:r>
        <w:rPr>
          <w:rFonts w:hint="eastAsia" w:cs="宋体"/>
          <w:sz w:val="24"/>
          <w:szCs w:val="24"/>
        </w:rPr>
        <w:t>联系地址：</w:t>
      </w:r>
      <w:r>
        <w:rPr>
          <w:sz w:val="24"/>
          <w:szCs w:val="24"/>
        </w:rPr>
        <w:t xml:space="preserve">                      </w:t>
      </w:r>
    </w:p>
    <w:p>
      <w:pPr>
        <w:spacing w:line="480" w:lineRule="auto"/>
        <w:ind w:right="108" w:firstLine="493"/>
        <w:rPr>
          <w:sz w:val="24"/>
          <w:szCs w:val="24"/>
        </w:rPr>
      </w:pPr>
      <w:r>
        <w:rPr>
          <w:rFonts w:hint="eastAsia" w:cs="宋体"/>
          <w:sz w:val="24"/>
          <w:szCs w:val="24"/>
        </w:rPr>
        <w:t>电话：</w:t>
      </w:r>
      <w:r>
        <w:rPr>
          <w:sz w:val="24"/>
          <w:szCs w:val="24"/>
        </w:rPr>
        <w:t xml:space="preserve">                          </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pPr>
        <w:spacing w:line="480" w:lineRule="auto"/>
        <w:ind w:right="108" w:firstLine="493"/>
        <w:rPr>
          <w:sz w:val="24"/>
          <w:szCs w:val="24"/>
        </w:rPr>
      </w:pPr>
    </w:p>
    <w:p>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sz w:val="24"/>
          <w:szCs w:val="24"/>
        </w:rPr>
        <w:t xml:space="preserve">) </w:t>
      </w:r>
      <w:r>
        <w:rPr>
          <w:rFonts w:hint="eastAsia" w:cs="宋体"/>
          <w:sz w:val="24"/>
          <w:szCs w:val="24"/>
        </w:rPr>
        <w:t>：</w:t>
      </w:r>
    </w:p>
    <w:p>
      <w:pPr>
        <w:spacing w:line="480" w:lineRule="auto"/>
        <w:ind w:right="108" w:firstLine="493"/>
        <w:rPr>
          <w:sz w:val="24"/>
          <w:szCs w:val="24"/>
        </w:rPr>
      </w:pPr>
      <w:r>
        <w:rPr>
          <w:rFonts w:hint="eastAsia" w:cs="宋体"/>
          <w:sz w:val="24"/>
          <w:szCs w:val="24"/>
        </w:rPr>
        <w:t>联系地址：</w:t>
      </w:r>
    </w:p>
    <w:p>
      <w:pPr>
        <w:spacing w:line="480" w:lineRule="auto"/>
        <w:ind w:right="108" w:firstLine="493"/>
        <w:rPr>
          <w:sz w:val="24"/>
          <w:szCs w:val="24"/>
        </w:rPr>
      </w:pPr>
      <w:r>
        <w:rPr>
          <w:rFonts w:hint="eastAsia" w:cs="宋体"/>
          <w:sz w:val="24"/>
          <w:szCs w:val="24"/>
        </w:rPr>
        <w:t>电话：</w:t>
      </w:r>
    </w:p>
    <w:p>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13A31"/>
    <w:rsid w:val="00C21946"/>
    <w:rsid w:val="00C30D76"/>
    <w:rsid w:val="00C84E2D"/>
    <w:rsid w:val="00CB09B2"/>
    <w:rsid w:val="00D818CD"/>
    <w:rsid w:val="00E3211C"/>
    <w:rsid w:val="00EB48DF"/>
    <w:rsid w:val="00EC0CFD"/>
    <w:rsid w:val="00F3596D"/>
    <w:rsid w:val="00FC4782"/>
    <w:rsid w:val="00FD0271"/>
    <w:rsid w:val="00FE49CB"/>
    <w:rsid w:val="00FF584C"/>
    <w:rsid w:val="24671436"/>
    <w:rsid w:val="268B33C8"/>
    <w:rsid w:val="378621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rFonts w:eastAsia="仿宋_GB2312"/>
      <w:sz w:val="30"/>
      <w:szCs w:val="30"/>
    </w:rPr>
  </w:style>
  <w:style w:type="paragraph" w:styleId="4">
    <w:name w:val="Body Text"/>
    <w:basedOn w:val="1"/>
    <w:link w:val="21"/>
    <w:qFormat/>
    <w:uiPriority w:val="99"/>
    <w:pPr>
      <w:spacing w:before="120" w:after="120" w:line="400" w:lineRule="exact"/>
    </w:pPr>
    <w:rPr>
      <w:rFonts w:eastAsia="仿宋_GB2312"/>
      <w:sz w:val="24"/>
      <w:szCs w:val="24"/>
    </w:rPr>
  </w:style>
  <w:style w:type="paragraph" w:styleId="5">
    <w:name w:val="Body Text Indent"/>
    <w:basedOn w:val="1"/>
    <w:link w:val="20"/>
    <w:qFormat/>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1">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2">
    <w:name w:val="Body Text 2"/>
    <w:basedOn w:val="1"/>
    <w:link w:val="22"/>
    <w:qFormat/>
    <w:uiPriority w:val="99"/>
    <w:pPr>
      <w:spacing w:before="120" w:after="120" w:line="400" w:lineRule="exact"/>
    </w:pPr>
    <w:rPr>
      <w:rFonts w:ascii="宋体" w:hAnsi="宋体" w:cs="宋体"/>
      <w:b/>
      <w:bCs/>
      <w:sz w:val="24"/>
      <w:szCs w:val="24"/>
    </w:rPr>
  </w:style>
  <w:style w:type="paragraph" w:styleId="13">
    <w:name w:val="annotation subject"/>
    <w:basedOn w:val="3"/>
    <w:next w:val="3"/>
    <w:link w:val="26"/>
    <w:semiHidden/>
    <w:unhideWhenUsed/>
    <w:qFormat/>
    <w:uiPriority w:val="99"/>
    <w:rPr>
      <w:rFonts w:eastAsia="宋体"/>
      <w:b/>
      <w:bCs/>
      <w:sz w:val="21"/>
      <w:szCs w:val="21"/>
    </w:rPr>
  </w:style>
  <w:style w:type="character" w:styleId="16">
    <w:name w:val="annotation reference"/>
    <w:semiHidden/>
    <w:unhideWhenUsed/>
    <w:qFormat/>
    <w:uiPriority w:val="99"/>
    <w:rPr>
      <w:sz w:val="21"/>
      <w:szCs w:val="21"/>
    </w:rPr>
  </w:style>
  <w:style w:type="character" w:customStyle="1" w:styleId="17">
    <w:name w:val="标题 1 Char"/>
    <w:link w:val="2"/>
    <w:qFormat/>
    <w:locked/>
    <w:uiPriority w:val="99"/>
    <w:rPr>
      <w:b/>
      <w:bCs/>
      <w:kern w:val="44"/>
      <w:sz w:val="44"/>
      <w:szCs w:val="44"/>
    </w:rPr>
  </w:style>
  <w:style w:type="paragraph" w:styleId="18">
    <w:name w:val="List Paragraph"/>
    <w:basedOn w:val="1"/>
    <w:qFormat/>
    <w:uiPriority w:val="99"/>
    <w:pPr>
      <w:widowControl/>
      <w:ind w:right="50" w:rightChars="50" w:firstLine="420" w:firstLineChars="200"/>
    </w:pPr>
    <w:rPr>
      <w:rFonts w:ascii="Calibri" w:hAnsi="Calibri" w:cs="Calibri"/>
    </w:rPr>
  </w:style>
  <w:style w:type="paragraph" w:customStyle="1" w:styleId="19">
    <w:name w:val="TOC Heading"/>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20">
    <w:name w:val="正文文本缩进 Char"/>
    <w:link w:val="5"/>
    <w:qFormat/>
    <w:locked/>
    <w:uiPriority w:val="99"/>
    <w:rPr>
      <w:rFonts w:ascii="Times New Roman" w:hAnsi="Times New Roman" w:eastAsia="仿宋_GB2312" w:cs="Times New Roman"/>
      <w:sz w:val="20"/>
      <w:szCs w:val="20"/>
    </w:rPr>
  </w:style>
  <w:style w:type="character" w:customStyle="1" w:styleId="21">
    <w:name w:val="正文文本 Char"/>
    <w:link w:val="4"/>
    <w:qFormat/>
    <w:locked/>
    <w:uiPriority w:val="99"/>
    <w:rPr>
      <w:rFonts w:ascii="Times New Roman" w:hAnsi="Times New Roman" w:eastAsia="仿宋_GB2312" w:cs="Times New Roman"/>
      <w:sz w:val="20"/>
      <w:szCs w:val="20"/>
    </w:rPr>
  </w:style>
  <w:style w:type="character" w:customStyle="1" w:styleId="22">
    <w:name w:val="正文文本 2 Char"/>
    <w:link w:val="12"/>
    <w:qFormat/>
    <w:locked/>
    <w:uiPriority w:val="99"/>
    <w:rPr>
      <w:rFonts w:ascii="宋体" w:hAnsi="宋体" w:eastAsia="宋体" w:cs="宋体"/>
      <w:b/>
      <w:bCs/>
      <w:sz w:val="20"/>
      <w:szCs w:val="20"/>
    </w:rPr>
  </w:style>
  <w:style w:type="character" w:customStyle="1" w:styleId="23">
    <w:name w:val="批注文字 Char"/>
    <w:link w:val="3"/>
    <w:semiHidden/>
    <w:qFormat/>
    <w:locked/>
    <w:uiPriority w:val="99"/>
    <w:rPr>
      <w:rFonts w:ascii="Times New Roman" w:hAnsi="Times New Roman" w:eastAsia="仿宋_GB2312" w:cs="Times New Roman"/>
      <w:sz w:val="30"/>
      <w:szCs w:val="30"/>
    </w:rPr>
  </w:style>
  <w:style w:type="character" w:customStyle="1" w:styleId="24">
    <w:name w:val="页眉 Char"/>
    <w:link w:val="9"/>
    <w:semiHidden/>
    <w:qFormat/>
    <w:locked/>
    <w:uiPriority w:val="99"/>
    <w:rPr>
      <w:rFonts w:ascii="Times New Roman" w:hAnsi="Times New Roman" w:eastAsia="宋体" w:cs="Times New Roman"/>
      <w:sz w:val="18"/>
      <w:szCs w:val="18"/>
    </w:rPr>
  </w:style>
  <w:style w:type="character" w:customStyle="1" w:styleId="25">
    <w:name w:val="页脚 Char"/>
    <w:link w:val="8"/>
    <w:qFormat/>
    <w:locked/>
    <w:uiPriority w:val="99"/>
    <w:rPr>
      <w:rFonts w:ascii="Times New Roman" w:hAnsi="Times New Roman" w:eastAsia="宋体" w:cs="Times New Roman"/>
      <w:sz w:val="18"/>
      <w:szCs w:val="18"/>
    </w:rPr>
  </w:style>
  <w:style w:type="character" w:customStyle="1" w:styleId="26">
    <w:name w:val="批注主题 Char"/>
    <w:link w:val="13"/>
    <w:semiHidden/>
    <w:qFormat/>
    <w:uiPriority w:val="99"/>
    <w:rPr>
      <w:rFonts w:ascii="Times New Roman" w:hAnsi="Times New Roman" w:eastAsia="仿宋_GB2312" w:cs="Times New Roman"/>
      <w:b/>
      <w:bCs/>
      <w:kern w:val="2"/>
      <w:sz w:val="21"/>
      <w:szCs w:val="21"/>
    </w:rPr>
  </w:style>
  <w:style w:type="character" w:customStyle="1" w:styleId="27">
    <w:name w:val="批注框文本 Char"/>
    <w:link w:val="7"/>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2593</Words>
  <Characters>699</Characters>
  <Lines>5</Lines>
  <Paragraphs>6</Paragraphs>
  <TotalTime>101</TotalTime>
  <ScaleCrop>false</ScaleCrop>
  <LinksUpToDate>false</LinksUpToDate>
  <CharactersWithSpaces>3286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2021-03-24T07:48:00Z</dcterms:created>
  <dc:creator>topvaluer</dc:creator>
  <cp:lastModifiedBy>俊然</cp:lastModifiedBy>
  <cp:lastPrinted>2016-12-07T02:30:00Z</cp:lastPrinted>
  <dcterms:modified xsi:type="dcterms:W3CDTF">2023-04-03T08:50:30Z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7C0FB8F27484455F830CA9ABB25FE9E2_13</vt:lpwstr>
  </property>
</Properties>
</file>